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宋体" w:hAnsi="宋体"/>
          <w:sz w:val="24"/>
          <w:szCs w:val="24"/>
        </w:rPr>
      </w:pPr>
      <w:r>
        <w:rPr>
          <w:rFonts w:hint="eastAsia" w:ascii="宋体" w:hAnsi="宋体"/>
          <w:sz w:val="24"/>
          <w:szCs w:val="24"/>
        </w:rPr>
        <w:t>（1）、维保内容</w:t>
      </w:r>
    </w:p>
    <w:tbl>
      <w:tblPr>
        <w:tblStyle w:val="2"/>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3"/>
        <w:gridCol w:w="1755"/>
        <w:gridCol w:w="1860"/>
        <w:gridCol w:w="706"/>
        <w:gridCol w:w="2147"/>
        <w:gridCol w:w="1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437"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序号</w:t>
            </w:r>
          </w:p>
        </w:tc>
        <w:tc>
          <w:tcPr>
            <w:tcW w:w="1046" w:type="pct"/>
            <w:vMerge w:val="restar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项目名称</w:t>
            </w:r>
          </w:p>
        </w:tc>
        <w:tc>
          <w:tcPr>
            <w:tcW w:w="1109" w:type="pct"/>
            <w:vMerge w:val="restar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项目特征描述</w:t>
            </w:r>
          </w:p>
        </w:tc>
        <w:tc>
          <w:tcPr>
            <w:tcW w:w="421" w:type="pct"/>
            <w:vMerge w:val="restar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单位</w:t>
            </w:r>
          </w:p>
        </w:tc>
        <w:tc>
          <w:tcPr>
            <w:tcW w:w="1280" w:type="pct"/>
            <w:vMerge w:val="restar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工程量</w:t>
            </w:r>
          </w:p>
        </w:tc>
        <w:tc>
          <w:tcPr>
            <w:tcW w:w="707" w:type="pct"/>
            <w:vMerge w:val="restar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服务内容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1</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风机盘管</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FP-20</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台</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10</w:t>
            </w:r>
          </w:p>
        </w:tc>
        <w:tc>
          <w:tcPr>
            <w:tcW w:w="707" w:type="pct"/>
            <w:vMerge w:val="restart"/>
            <w:tcBorders>
              <w:top w:val="nil"/>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 xml:space="preserve"> 整机维保，含常用耗材日常维护，及正常老化整机更换等内容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2</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风机盘管</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 xml:space="preserve">FP-40 </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台</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12</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3</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风机盘管</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 xml:space="preserve">FP-50 </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台</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1</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4</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风机盘管</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FP-60</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台</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7</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5</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风机盘管</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FP-100</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台</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6</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6</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离心式通风机</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 xml:space="preserve"> 防腐离心排风机</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台</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1</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7</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空调器</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 xml:space="preserve"> 全新风空调机组、规格：15000M3/H</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台(组)</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1</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8</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离心式通风机</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 xml:space="preserve"> 低噪声排风机</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台</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13</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9</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控制器</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1、 氧离子簇粒子净化主机 手动/自动双模式控制器(设备需自带空气质量传感器)</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台(套)</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1</w:t>
            </w:r>
          </w:p>
        </w:tc>
        <w:tc>
          <w:tcPr>
            <w:tcW w:w="707" w:type="pct"/>
            <w:vMerge w:val="restart"/>
            <w:tcBorders>
              <w:top w:val="nil"/>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 xml:space="preserve">日常维保，数据校准，正常老化配件更换等内容。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10</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控制柜</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1、 强电控制柜</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台</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1</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11</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控制柜</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1、 弱电中央控制柜</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台</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1</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12</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控制系统</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风速传感器1套、甲醛传感器1套、VOC传感器1套、苯系物传感器1套</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套</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1</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13</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碳钢罩类</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离子布气罩 600*600</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个</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12</w:t>
            </w:r>
          </w:p>
        </w:tc>
        <w:tc>
          <w:tcPr>
            <w:tcW w:w="707" w:type="pct"/>
            <w:vMerge w:val="restart"/>
            <w:tcBorders>
              <w:top w:val="nil"/>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 xml:space="preserve"> 日常维保，数据校准，正常老化配件更换等内容。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14</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病理通风柜</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　</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台</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12</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15</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病理取材台</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　</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台</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3</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16</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散流器</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圆形散流器、规格：400*400</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个</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39</w:t>
            </w:r>
          </w:p>
        </w:tc>
        <w:tc>
          <w:tcPr>
            <w:tcW w:w="707" w:type="pct"/>
            <w:vMerge w:val="restart"/>
            <w:tcBorders>
              <w:top w:val="nil"/>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 xml:space="preserve">系统整体维保，正常老化配件更换，可调整末端数据校准等内容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17</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散流器</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矩形散流器、规格：300*300</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个</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10</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18</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散流器</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矩形散流器、规格：400*400</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个</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32</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19</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碳钢风口</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条形回风口、规格：500*150</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个</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10</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20</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碳钢风口</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 xml:space="preserve"> 条形回风口、格：800*150</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个</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20</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21</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碳钢风口</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 xml:space="preserve"> 条形回风口、规格：1200*200</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个</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6</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22</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碳钢通风管道</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 xml:space="preserve"> 镀锌钢板 </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m2</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104.2</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23</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碳钢通风管道</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 xml:space="preserve"> 镀锌钢板 </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m2</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66.06</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24</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无缝钢管</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规格：DN100</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　</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　</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25</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镀锌钢管</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规格、压力等级：DN80</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　</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　</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26</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镀锌钢管</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规格、压力等级：DN65</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　</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　</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27</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镀锌钢管</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规格、压力等级：DN50</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　</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　</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28</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镀锌钢管</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规格、压力等级：DN40</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　</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　</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29</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镀锌钢管</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规格、压力等级：DN32</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　</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　</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30</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镀锌钢管</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规格、压力等级：DN20</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　</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　</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31</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柔性接口</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 xml:space="preserve"> 防火帆布软接</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m2</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9.76</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32</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管道绝热</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绝热材料品种：橡塑保温管（难燃B1级），外用铝箔玻璃布</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m3</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1.97</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33</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管道绝热</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绝热材料品种：橡塑保温管（难燃B1级），外用铝箔玻璃布</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m3</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0.24</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34</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静压箱</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 xml:space="preserve"> 静压箱（详见施工图）</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m2</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48.96</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35</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通风道</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 xml:space="preserve"> 排风立柱</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根</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6</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36</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消声器</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 xml:space="preserve"> 消声器</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个</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13</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37</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消声器</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 xml:space="preserve"> 消声器</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个</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1</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38</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碳钢阀门</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 xml:space="preserve"> 电动密闭阀</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个</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13</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39</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碳钢阀门</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 xml:space="preserve"> 手动风阀</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个</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32</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40</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碳钢阀门</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 xml:space="preserve"> 手动风阀</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个</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5</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41</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塑料通风管道</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 xml:space="preserve"> PVC风管 Φ315</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m2</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116.71</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42</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塑料通风管道</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 xml:space="preserve"> PVC风管</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m2</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45.77</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43</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消声器</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消声器1750*500*1500</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个</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2</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44</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碳钢阀门</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 xml:space="preserve"> 70℃常开式防火阀1000*500</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个</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1</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45</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净化通风管道</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钢板风道</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m2</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390</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46</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通风管道绝热</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绝热材料品种：橡塑保温B1级防火（含胶水）</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m3</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9.55</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47</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碳钢风口、散流器、百叶窗</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百叶风口300*300</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个</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11</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48</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实验台</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　</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m</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45</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49</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防爆柜</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　</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台</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2</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50</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软接头（软管）</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橡胶软接DN100</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个(组)</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1</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51</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软接头（软管）</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橡胶软接N40</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个(组)</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2</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52</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软接头（软管）</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金属软接DN20</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m</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72</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53</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过滤器</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Y型号过滤器DN20</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台</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36</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54</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过滤器</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Y型号过滤器DN100</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台</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1</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55</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电动、电磁阀门</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电磁阀DN20</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个</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36</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56</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螺纹阀门</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类型：球阀DN20</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个</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72</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57</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电动、电磁阀门</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电动两通阀DN100</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个</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1</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58</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螺纹阀门</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类型：蝶阀</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个</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4</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59</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低压法兰阀门</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闸阀</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个</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2</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60</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法兰</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压力等级：法兰DN125</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副</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2</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61</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钢托架</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说明：室外机组钢架结构</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t</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0.5</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437"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62</w:t>
            </w:r>
          </w:p>
        </w:tc>
        <w:tc>
          <w:tcPr>
            <w:tcW w:w="1046"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电气工程</w:t>
            </w:r>
          </w:p>
        </w:tc>
        <w:tc>
          <w:tcPr>
            <w:tcW w:w="1109"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风机盘管、新风机组、排风机组、排放柜、边台用电等</w:t>
            </w:r>
          </w:p>
        </w:tc>
        <w:tc>
          <w:tcPr>
            <w:tcW w:w="421"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项</w:t>
            </w:r>
          </w:p>
        </w:tc>
        <w:tc>
          <w:tcPr>
            <w:tcW w:w="1280" w:type="pct"/>
            <w:tcBorders>
              <w:top w:val="single" w:color="auto" w:sz="4" w:space="0"/>
              <w:left w:val="nil"/>
              <w:bottom w:val="single" w:color="auto" w:sz="4" w:space="0"/>
              <w:right w:val="single" w:color="auto" w:sz="4" w:space="0"/>
            </w:tcBorders>
            <w:shd w:val="clear" w:color="auto" w:fill="FFFFFF"/>
            <w:vAlign w:val="center"/>
          </w:tcPr>
          <w:p>
            <w:pPr>
              <w:jc w:val="left"/>
              <w:rPr>
                <w:rFonts w:ascii="宋体" w:hAnsi="宋体"/>
              </w:rPr>
            </w:pPr>
            <w:r>
              <w:rPr>
                <w:rFonts w:hint="eastAsia" w:ascii="宋体" w:hAnsi="宋体"/>
              </w:rPr>
              <w:t>1</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r>
    </w:tbl>
    <w:p>
      <w:pPr>
        <w:spacing w:line="360" w:lineRule="auto"/>
        <w:rPr>
          <w:rFonts w:hint="eastAsia" w:ascii="宋体" w:hAnsi="宋体"/>
          <w:sz w:val="24"/>
          <w:szCs w:val="24"/>
        </w:rPr>
      </w:pPr>
      <w:r>
        <w:rPr>
          <w:rFonts w:hint="eastAsia" w:ascii="宋体" w:hAnsi="宋体"/>
          <w:sz w:val="24"/>
          <w:szCs w:val="24"/>
        </w:rPr>
        <w:t>（2）、检查维保周期</w:t>
      </w:r>
    </w:p>
    <w:tbl>
      <w:tblPr>
        <w:tblStyle w:val="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4"/>
        <w:gridCol w:w="1056"/>
        <w:gridCol w:w="3786"/>
        <w:gridCol w:w="1056"/>
        <w:gridCol w:w="1030"/>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472" w:type="pct"/>
            <w:vMerge w:val="restart"/>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rPr>
            </w:pPr>
            <w:r>
              <w:rPr>
                <w:rFonts w:hint="eastAsia" w:ascii="宋体" w:hAnsi="宋体"/>
              </w:rPr>
              <w:t>序号</w:t>
            </w:r>
          </w:p>
        </w:tc>
        <w:tc>
          <w:tcPr>
            <w:tcW w:w="491" w:type="pct"/>
            <w:vMerge w:val="restar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r>
              <w:rPr>
                <w:rFonts w:hint="eastAsia" w:ascii="宋体" w:hAnsi="宋体"/>
              </w:rPr>
              <w:t xml:space="preserve">项目 </w:t>
            </w:r>
          </w:p>
        </w:tc>
        <w:tc>
          <w:tcPr>
            <w:tcW w:w="1552" w:type="pct"/>
            <w:vMerge w:val="restar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r>
              <w:rPr>
                <w:rFonts w:hint="eastAsia" w:ascii="宋体" w:hAnsi="宋体"/>
              </w:rPr>
              <w:t>检查内容</w:t>
            </w:r>
          </w:p>
        </w:tc>
        <w:tc>
          <w:tcPr>
            <w:tcW w:w="2486" w:type="pct"/>
            <w:gridSpan w:val="3"/>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r>
              <w:rPr>
                <w:rFonts w:hint="eastAsia" w:ascii="宋体" w:hAnsi="宋体"/>
              </w:rPr>
              <w:t>检查周期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rPr>
            </w:pPr>
          </w:p>
        </w:tc>
        <w:tc>
          <w:tcPr>
            <w:tcW w:w="787"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r>
              <w:rPr>
                <w:rFonts w:hint="eastAsia" w:ascii="宋体" w:hAnsi="宋体"/>
              </w:rPr>
              <w:t>每三个月</w:t>
            </w:r>
          </w:p>
        </w:tc>
        <w:tc>
          <w:tcPr>
            <w:tcW w:w="836"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r>
              <w:rPr>
                <w:rFonts w:hint="eastAsia" w:ascii="宋体" w:hAnsi="宋体"/>
              </w:rPr>
              <w:t>半年</w:t>
            </w:r>
          </w:p>
        </w:tc>
        <w:tc>
          <w:tcPr>
            <w:tcW w:w="862"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r>
              <w:rPr>
                <w:rFonts w:hint="eastAsia" w:ascii="宋体" w:hAnsi="宋体"/>
              </w:rPr>
              <w:t>每年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472" w:type="pct"/>
            <w:tcBorders>
              <w:top w:val="single" w:color="auto" w:sz="4" w:space="0"/>
              <w:left w:val="single" w:color="auto" w:sz="4" w:space="0"/>
              <w:bottom w:val="single" w:color="auto" w:sz="4" w:space="0"/>
              <w:right w:val="single" w:color="auto" w:sz="4" w:space="0"/>
            </w:tcBorders>
          </w:tcPr>
          <w:p>
            <w:pPr>
              <w:spacing w:line="360" w:lineRule="auto"/>
              <w:rPr>
                <w:rFonts w:ascii="宋体" w:hAnsi="宋体"/>
              </w:rPr>
            </w:pPr>
            <w:r>
              <w:rPr>
                <w:rFonts w:hint="eastAsia" w:ascii="宋体" w:hAnsi="宋体"/>
              </w:rPr>
              <w:t>1</w:t>
            </w:r>
          </w:p>
        </w:tc>
        <w:tc>
          <w:tcPr>
            <w:tcW w:w="491" w:type="pct"/>
            <w:vMerge w:val="restart"/>
            <w:tcBorders>
              <w:top w:val="nil"/>
              <w:left w:val="nil"/>
              <w:bottom w:val="single" w:color="auto" w:sz="4" w:space="0"/>
              <w:right w:val="single" w:color="auto" w:sz="4" w:space="0"/>
            </w:tcBorders>
            <w:noWrap/>
            <w:vAlign w:val="center"/>
          </w:tcPr>
          <w:p>
            <w:pPr>
              <w:spacing w:line="360" w:lineRule="auto"/>
              <w:rPr>
                <w:rFonts w:ascii="宋体" w:hAnsi="宋体"/>
              </w:rPr>
            </w:pPr>
            <w:r>
              <w:rPr>
                <w:rFonts w:hint="eastAsia" w:ascii="宋体" w:hAnsi="宋体"/>
              </w:rPr>
              <w:t>主机设备</w:t>
            </w:r>
          </w:p>
        </w:tc>
        <w:tc>
          <w:tcPr>
            <w:tcW w:w="1552"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r>
              <w:rPr>
                <w:rFonts w:hint="eastAsia" w:ascii="宋体" w:hAnsi="宋体"/>
              </w:rPr>
              <w:t>检测离子发射量是否正常</w:t>
            </w:r>
          </w:p>
        </w:tc>
        <w:tc>
          <w:tcPr>
            <w:tcW w:w="787"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r>
              <w:rPr>
                <w:rFonts w:hint="eastAsia" w:ascii="宋体" w:hAnsi="宋体"/>
              </w:rPr>
              <w:t>√</w:t>
            </w:r>
          </w:p>
        </w:tc>
        <w:tc>
          <w:tcPr>
            <w:tcW w:w="836"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p>
        </w:tc>
        <w:tc>
          <w:tcPr>
            <w:tcW w:w="862"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472" w:type="pct"/>
            <w:tcBorders>
              <w:top w:val="single" w:color="auto" w:sz="4" w:space="0"/>
              <w:left w:val="single" w:color="auto" w:sz="4" w:space="0"/>
              <w:bottom w:val="single" w:color="auto" w:sz="4" w:space="0"/>
              <w:right w:val="single" w:color="auto" w:sz="4" w:space="0"/>
            </w:tcBorders>
          </w:tcPr>
          <w:p>
            <w:pPr>
              <w:spacing w:line="360" w:lineRule="auto"/>
              <w:rPr>
                <w:rFonts w:ascii="宋体" w:hAnsi="宋体"/>
              </w:rPr>
            </w:pPr>
            <w:r>
              <w:rPr>
                <w:rFonts w:hint="eastAsia" w:ascii="宋体" w:hAnsi="宋体"/>
              </w:rPr>
              <w:t>2</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1552"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r>
              <w:rPr>
                <w:rFonts w:hint="eastAsia" w:ascii="宋体" w:hAnsi="宋体"/>
              </w:rPr>
              <w:t>空气检测探头是否正常工作</w:t>
            </w:r>
          </w:p>
        </w:tc>
        <w:tc>
          <w:tcPr>
            <w:tcW w:w="787"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r>
              <w:rPr>
                <w:rFonts w:hint="eastAsia" w:ascii="宋体" w:hAnsi="宋体"/>
              </w:rPr>
              <w:t>√</w:t>
            </w:r>
          </w:p>
        </w:tc>
        <w:tc>
          <w:tcPr>
            <w:tcW w:w="836"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p>
        </w:tc>
        <w:tc>
          <w:tcPr>
            <w:tcW w:w="862"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472" w:type="pct"/>
            <w:tcBorders>
              <w:top w:val="single" w:color="auto" w:sz="4" w:space="0"/>
              <w:left w:val="single" w:color="auto" w:sz="4" w:space="0"/>
              <w:bottom w:val="single" w:color="auto" w:sz="4" w:space="0"/>
              <w:right w:val="single" w:color="auto" w:sz="4" w:space="0"/>
            </w:tcBorders>
          </w:tcPr>
          <w:p>
            <w:pPr>
              <w:spacing w:line="360" w:lineRule="auto"/>
              <w:rPr>
                <w:rFonts w:ascii="宋体" w:hAnsi="宋体"/>
              </w:rPr>
            </w:pPr>
            <w:r>
              <w:rPr>
                <w:rFonts w:hint="eastAsia" w:ascii="宋体" w:hAnsi="宋体"/>
              </w:rPr>
              <w:t>3</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1552"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r>
              <w:rPr>
                <w:rFonts w:hint="eastAsia" w:ascii="宋体" w:hAnsi="宋体"/>
              </w:rPr>
              <w:t>空气品质控制器工作是否正常</w:t>
            </w:r>
          </w:p>
        </w:tc>
        <w:tc>
          <w:tcPr>
            <w:tcW w:w="787"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r>
              <w:rPr>
                <w:rFonts w:hint="eastAsia" w:ascii="宋体" w:hAnsi="宋体"/>
              </w:rPr>
              <w:t>√</w:t>
            </w:r>
          </w:p>
        </w:tc>
        <w:tc>
          <w:tcPr>
            <w:tcW w:w="836"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p>
        </w:tc>
        <w:tc>
          <w:tcPr>
            <w:tcW w:w="862"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472" w:type="pct"/>
            <w:tcBorders>
              <w:top w:val="single" w:color="auto" w:sz="4" w:space="0"/>
              <w:left w:val="single" w:color="auto" w:sz="4" w:space="0"/>
              <w:bottom w:val="single" w:color="auto" w:sz="4" w:space="0"/>
              <w:right w:val="single" w:color="auto" w:sz="4" w:space="0"/>
            </w:tcBorders>
          </w:tcPr>
          <w:p>
            <w:pPr>
              <w:spacing w:line="360" w:lineRule="auto"/>
              <w:rPr>
                <w:rFonts w:ascii="宋体" w:hAnsi="宋体"/>
              </w:rPr>
            </w:pPr>
            <w:r>
              <w:rPr>
                <w:rFonts w:hint="eastAsia" w:ascii="宋体" w:hAnsi="宋体"/>
              </w:rPr>
              <w:t>4</w:t>
            </w:r>
          </w:p>
        </w:tc>
        <w:tc>
          <w:tcPr>
            <w:tcW w:w="491" w:type="pct"/>
            <w:vMerge w:val="restart"/>
            <w:tcBorders>
              <w:top w:val="nil"/>
              <w:left w:val="nil"/>
              <w:bottom w:val="single" w:color="auto" w:sz="4" w:space="0"/>
              <w:right w:val="single" w:color="auto" w:sz="4" w:space="0"/>
            </w:tcBorders>
            <w:vAlign w:val="center"/>
          </w:tcPr>
          <w:p>
            <w:pPr>
              <w:spacing w:line="360" w:lineRule="auto"/>
              <w:rPr>
                <w:rFonts w:ascii="宋体" w:hAnsi="宋体"/>
              </w:rPr>
            </w:pPr>
            <w:r>
              <w:rPr>
                <w:rFonts w:hint="eastAsia" w:ascii="宋体" w:hAnsi="宋体"/>
              </w:rPr>
              <w:t>风机空调</w:t>
            </w:r>
          </w:p>
        </w:tc>
        <w:tc>
          <w:tcPr>
            <w:tcW w:w="1552"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r>
              <w:rPr>
                <w:rFonts w:hint="eastAsia" w:ascii="宋体" w:hAnsi="宋体"/>
              </w:rPr>
              <w:t>风机和电机积灰情况</w:t>
            </w:r>
          </w:p>
        </w:tc>
        <w:tc>
          <w:tcPr>
            <w:tcW w:w="787"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p>
        </w:tc>
        <w:tc>
          <w:tcPr>
            <w:tcW w:w="836"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r>
              <w:rPr>
                <w:rFonts w:hint="eastAsia" w:ascii="宋体" w:hAnsi="宋体"/>
              </w:rPr>
              <w:t>√</w:t>
            </w:r>
          </w:p>
        </w:tc>
        <w:tc>
          <w:tcPr>
            <w:tcW w:w="862"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472" w:type="pct"/>
            <w:tcBorders>
              <w:top w:val="single" w:color="auto" w:sz="4" w:space="0"/>
              <w:left w:val="single" w:color="auto" w:sz="4" w:space="0"/>
              <w:bottom w:val="single" w:color="auto" w:sz="4" w:space="0"/>
              <w:right w:val="single" w:color="auto" w:sz="4" w:space="0"/>
            </w:tcBorders>
          </w:tcPr>
          <w:p>
            <w:pPr>
              <w:spacing w:line="360" w:lineRule="auto"/>
              <w:rPr>
                <w:rFonts w:ascii="宋体" w:hAnsi="宋体"/>
              </w:rPr>
            </w:pPr>
            <w:r>
              <w:rPr>
                <w:rFonts w:hint="eastAsia" w:ascii="宋体" w:hAnsi="宋体"/>
              </w:rPr>
              <w:t>5</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1552"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r>
              <w:rPr>
                <w:rFonts w:hint="eastAsia" w:ascii="宋体" w:hAnsi="宋体"/>
              </w:rPr>
              <w:t>末端装置风量情况是否正常</w:t>
            </w:r>
          </w:p>
        </w:tc>
        <w:tc>
          <w:tcPr>
            <w:tcW w:w="787"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r>
              <w:rPr>
                <w:rFonts w:hint="eastAsia" w:ascii="宋体" w:hAnsi="宋体"/>
              </w:rPr>
              <w:t>√</w:t>
            </w:r>
          </w:p>
        </w:tc>
        <w:tc>
          <w:tcPr>
            <w:tcW w:w="836"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p>
        </w:tc>
        <w:tc>
          <w:tcPr>
            <w:tcW w:w="862"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472" w:type="pct"/>
            <w:tcBorders>
              <w:top w:val="single" w:color="auto" w:sz="4" w:space="0"/>
              <w:left w:val="single" w:color="auto" w:sz="4" w:space="0"/>
              <w:bottom w:val="single" w:color="auto" w:sz="4" w:space="0"/>
              <w:right w:val="single" w:color="auto" w:sz="4" w:space="0"/>
            </w:tcBorders>
          </w:tcPr>
          <w:p>
            <w:pPr>
              <w:spacing w:line="360" w:lineRule="auto"/>
              <w:rPr>
                <w:rFonts w:ascii="宋体" w:hAnsi="宋体"/>
              </w:rPr>
            </w:pPr>
            <w:r>
              <w:rPr>
                <w:rFonts w:hint="eastAsia" w:ascii="宋体" w:hAnsi="宋体"/>
              </w:rPr>
              <w:t>6</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1552"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r>
              <w:rPr>
                <w:rFonts w:hint="eastAsia" w:ascii="宋体" w:hAnsi="宋体"/>
              </w:rPr>
              <w:t>风阀能否灵活转动</w:t>
            </w:r>
          </w:p>
        </w:tc>
        <w:tc>
          <w:tcPr>
            <w:tcW w:w="787"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p>
        </w:tc>
        <w:tc>
          <w:tcPr>
            <w:tcW w:w="836"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p>
        </w:tc>
        <w:tc>
          <w:tcPr>
            <w:tcW w:w="862"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r>
              <w:rPr>
                <w:rFonts w:hint="eastAsia" w:ascii="宋体" w:hAns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472" w:type="pct"/>
            <w:tcBorders>
              <w:top w:val="single" w:color="auto" w:sz="4" w:space="0"/>
              <w:left w:val="single" w:color="auto" w:sz="4" w:space="0"/>
              <w:bottom w:val="single" w:color="auto" w:sz="4" w:space="0"/>
              <w:right w:val="single" w:color="auto" w:sz="4" w:space="0"/>
            </w:tcBorders>
          </w:tcPr>
          <w:p>
            <w:pPr>
              <w:spacing w:line="360" w:lineRule="auto"/>
              <w:rPr>
                <w:rFonts w:ascii="宋体" w:hAnsi="宋体"/>
              </w:rPr>
            </w:pPr>
            <w:r>
              <w:rPr>
                <w:rFonts w:hint="eastAsia" w:ascii="宋体" w:hAnsi="宋体"/>
              </w:rPr>
              <w:t>7</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1552"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r>
              <w:rPr>
                <w:rFonts w:hint="eastAsia" w:ascii="宋体" w:hAnsi="宋体"/>
              </w:rPr>
              <w:t>新风管保温损坏情况</w:t>
            </w:r>
          </w:p>
        </w:tc>
        <w:tc>
          <w:tcPr>
            <w:tcW w:w="787"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p>
        </w:tc>
        <w:tc>
          <w:tcPr>
            <w:tcW w:w="836"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r>
              <w:rPr>
                <w:rFonts w:hint="eastAsia" w:ascii="宋体" w:hAnsi="宋体"/>
              </w:rPr>
              <w:t>√</w:t>
            </w:r>
          </w:p>
        </w:tc>
        <w:tc>
          <w:tcPr>
            <w:tcW w:w="862"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472" w:type="pct"/>
            <w:tcBorders>
              <w:top w:val="single" w:color="auto" w:sz="4" w:space="0"/>
              <w:left w:val="single" w:color="auto" w:sz="4" w:space="0"/>
              <w:bottom w:val="single" w:color="auto" w:sz="4" w:space="0"/>
              <w:right w:val="single" w:color="auto" w:sz="4" w:space="0"/>
            </w:tcBorders>
          </w:tcPr>
          <w:p>
            <w:pPr>
              <w:spacing w:line="360" w:lineRule="auto"/>
              <w:rPr>
                <w:rFonts w:ascii="宋体" w:hAnsi="宋体"/>
              </w:rPr>
            </w:pPr>
            <w:r>
              <w:rPr>
                <w:rFonts w:hint="eastAsia" w:ascii="宋体" w:hAnsi="宋体"/>
              </w:rPr>
              <w:t>8</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1552"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r>
              <w:rPr>
                <w:rFonts w:hint="eastAsia" w:ascii="宋体" w:hAnsi="宋体"/>
              </w:rPr>
              <w:t>空调器内及风管内积灰情况</w:t>
            </w:r>
          </w:p>
        </w:tc>
        <w:tc>
          <w:tcPr>
            <w:tcW w:w="787"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p>
        </w:tc>
        <w:tc>
          <w:tcPr>
            <w:tcW w:w="836"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p>
        </w:tc>
        <w:tc>
          <w:tcPr>
            <w:tcW w:w="862"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r>
              <w:rPr>
                <w:rFonts w:hint="eastAsia" w:ascii="宋体" w:hAns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472" w:type="pct"/>
            <w:tcBorders>
              <w:top w:val="single" w:color="auto" w:sz="4" w:space="0"/>
              <w:left w:val="single" w:color="auto" w:sz="4" w:space="0"/>
              <w:bottom w:val="single" w:color="auto" w:sz="4" w:space="0"/>
              <w:right w:val="single" w:color="auto" w:sz="4" w:space="0"/>
            </w:tcBorders>
          </w:tcPr>
          <w:p>
            <w:pPr>
              <w:spacing w:line="360" w:lineRule="auto"/>
              <w:rPr>
                <w:rFonts w:ascii="宋体" w:hAnsi="宋体"/>
              </w:rPr>
            </w:pPr>
            <w:r>
              <w:rPr>
                <w:rFonts w:hint="eastAsia" w:ascii="宋体" w:hAnsi="宋体"/>
              </w:rPr>
              <w:t>9</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1552"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r>
              <w:rPr>
                <w:rFonts w:hint="eastAsia" w:ascii="宋体" w:hAnsi="宋体"/>
              </w:rPr>
              <w:t>各种自控阀动作是否正常</w:t>
            </w:r>
          </w:p>
        </w:tc>
        <w:tc>
          <w:tcPr>
            <w:tcW w:w="787"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p>
        </w:tc>
        <w:tc>
          <w:tcPr>
            <w:tcW w:w="836"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p>
        </w:tc>
        <w:tc>
          <w:tcPr>
            <w:tcW w:w="862"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r>
              <w:rPr>
                <w:rFonts w:hint="eastAsia" w:ascii="宋体" w:hAns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472" w:type="pct"/>
            <w:tcBorders>
              <w:top w:val="single" w:color="auto" w:sz="4" w:space="0"/>
              <w:left w:val="single" w:color="auto" w:sz="4" w:space="0"/>
              <w:bottom w:val="single" w:color="auto" w:sz="4" w:space="0"/>
              <w:right w:val="single" w:color="auto" w:sz="4" w:space="0"/>
            </w:tcBorders>
          </w:tcPr>
          <w:p>
            <w:pPr>
              <w:spacing w:line="360" w:lineRule="auto"/>
              <w:rPr>
                <w:rFonts w:ascii="宋体" w:hAnsi="宋体"/>
              </w:rPr>
            </w:pPr>
            <w:r>
              <w:rPr>
                <w:rFonts w:hint="eastAsia" w:ascii="宋体" w:hAnsi="宋体"/>
              </w:rPr>
              <w:t>10</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1552"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r>
              <w:rPr>
                <w:rFonts w:hint="eastAsia" w:ascii="宋体" w:hAnsi="宋体"/>
              </w:rPr>
              <w:t>积水盘排水管是否淤塞</w:t>
            </w:r>
          </w:p>
        </w:tc>
        <w:tc>
          <w:tcPr>
            <w:tcW w:w="787"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r>
              <w:rPr>
                <w:rFonts w:hint="eastAsia" w:ascii="宋体" w:hAnsi="宋体"/>
              </w:rPr>
              <w:t>√</w:t>
            </w:r>
          </w:p>
        </w:tc>
        <w:tc>
          <w:tcPr>
            <w:tcW w:w="836"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p>
        </w:tc>
        <w:tc>
          <w:tcPr>
            <w:tcW w:w="862"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472" w:type="pct"/>
            <w:tcBorders>
              <w:top w:val="single" w:color="auto" w:sz="4" w:space="0"/>
              <w:left w:val="single" w:color="auto" w:sz="4" w:space="0"/>
              <w:bottom w:val="single" w:color="auto" w:sz="4" w:space="0"/>
              <w:right w:val="single" w:color="auto" w:sz="4" w:space="0"/>
            </w:tcBorders>
          </w:tcPr>
          <w:p>
            <w:pPr>
              <w:spacing w:line="360" w:lineRule="auto"/>
              <w:rPr>
                <w:rFonts w:ascii="宋体" w:hAnsi="宋体"/>
              </w:rPr>
            </w:pPr>
            <w:r>
              <w:rPr>
                <w:rFonts w:hint="eastAsia" w:ascii="宋体" w:hAnsi="宋体"/>
              </w:rPr>
              <w:t>11</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1552"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r>
              <w:rPr>
                <w:rFonts w:hint="eastAsia" w:ascii="宋体" w:hAnsi="宋体"/>
              </w:rPr>
              <w:t>盘管表面积灰程度</w:t>
            </w:r>
          </w:p>
        </w:tc>
        <w:tc>
          <w:tcPr>
            <w:tcW w:w="787"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p>
        </w:tc>
        <w:tc>
          <w:tcPr>
            <w:tcW w:w="836"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p>
        </w:tc>
        <w:tc>
          <w:tcPr>
            <w:tcW w:w="862"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r>
              <w:rPr>
                <w:rFonts w:hint="eastAsia" w:ascii="宋体" w:hAns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472" w:type="pct"/>
            <w:tcBorders>
              <w:top w:val="single" w:color="auto" w:sz="4" w:space="0"/>
              <w:left w:val="single" w:color="auto" w:sz="4" w:space="0"/>
              <w:bottom w:val="single" w:color="auto" w:sz="4" w:space="0"/>
              <w:right w:val="single" w:color="auto" w:sz="4" w:space="0"/>
            </w:tcBorders>
          </w:tcPr>
          <w:p>
            <w:pPr>
              <w:spacing w:line="360" w:lineRule="auto"/>
              <w:rPr>
                <w:rFonts w:ascii="宋体" w:hAnsi="宋体"/>
              </w:rPr>
            </w:pPr>
            <w:r>
              <w:rPr>
                <w:rFonts w:hint="eastAsia" w:ascii="宋体" w:hAnsi="宋体"/>
              </w:rPr>
              <w:t>12</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1552"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r>
              <w:rPr>
                <w:rFonts w:hint="eastAsia" w:ascii="宋体" w:hAnsi="宋体"/>
              </w:rPr>
              <w:t>电流值确定</w:t>
            </w:r>
          </w:p>
        </w:tc>
        <w:tc>
          <w:tcPr>
            <w:tcW w:w="787"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r>
              <w:rPr>
                <w:rFonts w:hint="eastAsia" w:ascii="宋体" w:hAnsi="宋体"/>
              </w:rPr>
              <w:t>√</w:t>
            </w:r>
          </w:p>
        </w:tc>
        <w:tc>
          <w:tcPr>
            <w:tcW w:w="836"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p>
        </w:tc>
        <w:tc>
          <w:tcPr>
            <w:tcW w:w="862"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472" w:type="pct"/>
            <w:tcBorders>
              <w:top w:val="single" w:color="auto" w:sz="4" w:space="0"/>
              <w:left w:val="single" w:color="auto" w:sz="4" w:space="0"/>
              <w:bottom w:val="single" w:color="auto" w:sz="4" w:space="0"/>
              <w:right w:val="single" w:color="auto" w:sz="4" w:space="0"/>
            </w:tcBorders>
          </w:tcPr>
          <w:p>
            <w:pPr>
              <w:spacing w:line="360" w:lineRule="auto"/>
              <w:rPr>
                <w:rFonts w:ascii="宋体" w:hAnsi="宋体"/>
              </w:rPr>
            </w:pPr>
            <w:r>
              <w:rPr>
                <w:rFonts w:hint="eastAsia" w:ascii="宋体" w:hAnsi="宋体"/>
              </w:rPr>
              <w:t>13</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1552"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r>
              <w:rPr>
                <w:rFonts w:hint="eastAsia" w:ascii="宋体" w:hAnsi="宋体"/>
              </w:rPr>
              <w:t>叶轮、外壳积灰情况</w:t>
            </w:r>
          </w:p>
        </w:tc>
        <w:tc>
          <w:tcPr>
            <w:tcW w:w="787"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p>
        </w:tc>
        <w:tc>
          <w:tcPr>
            <w:tcW w:w="836"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r>
              <w:rPr>
                <w:rFonts w:hint="eastAsia" w:ascii="宋体" w:hAnsi="宋体"/>
              </w:rPr>
              <w:t>√</w:t>
            </w:r>
          </w:p>
        </w:tc>
        <w:tc>
          <w:tcPr>
            <w:tcW w:w="862"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472" w:type="pct"/>
            <w:tcBorders>
              <w:top w:val="single" w:color="auto" w:sz="4" w:space="0"/>
              <w:left w:val="single" w:color="auto" w:sz="4" w:space="0"/>
              <w:bottom w:val="single" w:color="auto" w:sz="4" w:space="0"/>
              <w:right w:val="single" w:color="auto" w:sz="4" w:space="0"/>
            </w:tcBorders>
          </w:tcPr>
          <w:p>
            <w:pPr>
              <w:spacing w:line="360" w:lineRule="auto"/>
              <w:rPr>
                <w:rFonts w:ascii="宋体" w:hAnsi="宋体"/>
              </w:rPr>
            </w:pPr>
            <w:r>
              <w:rPr>
                <w:rFonts w:hint="eastAsia" w:ascii="宋体" w:hAnsi="宋体"/>
              </w:rPr>
              <w:t>14</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1552"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r>
              <w:rPr>
                <w:rFonts w:hint="eastAsia" w:ascii="宋体" w:hAnsi="宋体"/>
              </w:rPr>
              <w:t>振动、异常声、皮带打滑情况</w:t>
            </w:r>
          </w:p>
        </w:tc>
        <w:tc>
          <w:tcPr>
            <w:tcW w:w="787"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r>
              <w:rPr>
                <w:rFonts w:hint="eastAsia" w:ascii="宋体" w:hAnsi="宋体"/>
              </w:rPr>
              <w:t>√</w:t>
            </w:r>
          </w:p>
        </w:tc>
        <w:tc>
          <w:tcPr>
            <w:tcW w:w="836"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p>
        </w:tc>
        <w:tc>
          <w:tcPr>
            <w:tcW w:w="862"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472" w:type="pct"/>
            <w:tcBorders>
              <w:top w:val="single" w:color="auto" w:sz="4" w:space="0"/>
              <w:left w:val="single" w:color="auto" w:sz="4" w:space="0"/>
              <w:bottom w:val="single" w:color="auto" w:sz="4" w:space="0"/>
              <w:right w:val="single" w:color="auto" w:sz="4" w:space="0"/>
            </w:tcBorders>
          </w:tcPr>
          <w:p>
            <w:pPr>
              <w:spacing w:line="360" w:lineRule="auto"/>
              <w:rPr>
                <w:rFonts w:ascii="宋体" w:hAnsi="宋体"/>
              </w:rPr>
            </w:pPr>
            <w:r>
              <w:rPr>
                <w:rFonts w:hint="eastAsia" w:ascii="宋体" w:hAnsi="宋体"/>
              </w:rPr>
              <w:t>15</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1552"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r>
              <w:rPr>
                <w:rFonts w:hint="eastAsia" w:ascii="宋体" w:hAnsi="宋体"/>
              </w:rPr>
              <w:t>锈蚀程度</w:t>
            </w:r>
          </w:p>
        </w:tc>
        <w:tc>
          <w:tcPr>
            <w:tcW w:w="787"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p>
        </w:tc>
        <w:tc>
          <w:tcPr>
            <w:tcW w:w="836"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r>
              <w:rPr>
                <w:rFonts w:hint="eastAsia" w:ascii="宋体" w:hAnsi="宋体"/>
              </w:rPr>
              <w:t>√</w:t>
            </w:r>
          </w:p>
        </w:tc>
        <w:tc>
          <w:tcPr>
            <w:tcW w:w="862"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472" w:type="pct"/>
            <w:tcBorders>
              <w:top w:val="single" w:color="auto" w:sz="4" w:space="0"/>
              <w:left w:val="single" w:color="auto" w:sz="4" w:space="0"/>
              <w:bottom w:val="single" w:color="auto" w:sz="4" w:space="0"/>
              <w:right w:val="single" w:color="auto" w:sz="4" w:space="0"/>
            </w:tcBorders>
          </w:tcPr>
          <w:p>
            <w:pPr>
              <w:spacing w:line="360" w:lineRule="auto"/>
              <w:rPr>
                <w:rFonts w:ascii="宋体" w:hAnsi="宋体"/>
              </w:rPr>
            </w:pPr>
            <w:r>
              <w:rPr>
                <w:rFonts w:hint="eastAsia" w:ascii="宋体" w:hAnsi="宋体"/>
              </w:rPr>
              <w:t>16</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1552"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r>
              <w:rPr>
                <w:rFonts w:hint="eastAsia" w:ascii="宋体" w:hAnsi="宋体"/>
              </w:rPr>
              <w:t>皮带松紧度是否合适（每年必须更换）</w:t>
            </w:r>
          </w:p>
        </w:tc>
        <w:tc>
          <w:tcPr>
            <w:tcW w:w="787"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r>
              <w:rPr>
                <w:rFonts w:hint="eastAsia" w:ascii="宋体" w:hAnsi="宋体"/>
              </w:rPr>
              <w:t>√</w:t>
            </w:r>
          </w:p>
        </w:tc>
        <w:tc>
          <w:tcPr>
            <w:tcW w:w="836"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p>
        </w:tc>
        <w:tc>
          <w:tcPr>
            <w:tcW w:w="862"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472" w:type="pct"/>
            <w:tcBorders>
              <w:top w:val="single" w:color="auto" w:sz="4" w:space="0"/>
              <w:left w:val="single" w:color="auto" w:sz="4" w:space="0"/>
              <w:bottom w:val="single" w:color="auto" w:sz="4" w:space="0"/>
              <w:right w:val="single" w:color="auto" w:sz="4" w:space="0"/>
            </w:tcBorders>
          </w:tcPr>
          <w:p>
            <w:pPr>
              <w:spacing w:line="360" w:lineRule="auto"/>
              <w:rPr>
                <w:rFonts w:ascii="宋体" w:hAnsi="宋体"/>
              </w:rPr>
            </w:pPr>
            <w:r>
              <w:rPr>
                <w:rFonts w:hint="eastAsia" w:ascii="宋体" w:hAnsi="宋体"/>
              </w:rPr>
              <w:t>17</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1552"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r>
              <w:rPr>
                <w:rFonts w:hint="eastAsia" w:ascii="宋体" w:hAnsi="宋体"/>
              </w:rPr>
              <w:t>轴承运行是否正常</w:t>
            </w:r>
          </w:p>
        </w:tc>
        <w:tc>
          <w:tcPr>
            <w:tcW w:w="787"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r>
              <w:rPr>
                <w:rFonts w:hint="eastAsia" w:ascii="宋体" w:hAnsi="宋体"/>
              </w:rPr>
              <w:t>√</w:t>
            </w:r>
          </w:p>
        </w:tc>
        <w:tc>
          <w:tcPr>
            <w:tcW w:w="836"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p>
        </w:tc>
        <w:tc>
          <w:tcPr>
            <w:tcW w:w="862"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472" w:type="pct"/>
            <w:tcBorders>
              <w:top w:val="single" w:color="auto" w:sz="4" w:space="0"/>
              <w:left w:val="single" w:color="auto" w:sz="4" w:space="0"/>
              <w:bottom w:val="single" w:color="auto" w:sz="4" w:space="0"/>
              <w:right w:val="single" w:color="auto" w:sz="4" w:space="0"/>
            </w:tcBorders>
          </w:tcPr>
          <w:p>
            <w:pPr>
              <w:spacing w:line="360" w:lineRule="auto"/>
              <w:rPr>
                <w:rFonts w:ascii="宋体" w:hAnsi="宋体"/>
              </w:rPr>
            </w:pPr>
            <w:r>
              <w:rPr>
                <w:rFonts w:hint="eastAsia" w:ascii="宋体" w:hAnsi="宋体"/>
              </w:rPr>
              <w:t>18</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1552" w:type="pct"/>
            <w:tcBorders>
              <w:top w:val="single" w:color="auto" w:sz="4" w:space="0"/>
              <w:left w:val="nil"/>
              <w:bottom w:val="single" w:color="auto" w:sz="4" w:space="0"/>
              <w:right w:val="single" w:color="auto" w:sz="4" w:space="0"/>
            </w:tcBorders>
            <w:noWrap/>
            <w:vAlign w:val="bottom"/>
          </w:tcPr>
          <w:p>
            <w:pPr>
              <w:spacing w:line="360" w:lineRule="auto"/>
              <w:rPr>
                <w:rFonts w:ascii="宋体" w:hAnsi="宋体"/>
              </w:rPr>
            </w:pPr>
            <w:r>
              <w:rPr>
                <w:rFonts w:hint="eastAsia" w:ascii="宋体" w:hAnsi="宋体"/>
              </w:rPr>
              <w:t>电机温升是否正常</w:t>
            </w:r>
          </w:p>
        </w:tc>
        <w:tc>
          <w:tcPr>
            <w:tcW w:w="787" w:type="pct"/>
            <w:tcBorders>
              <w:top w:val="single" w:color="auto" w:sz="4" w:space="0"/>
              <w:left w:val="nil"/>
              <w:bottom w:val="single" w:color="auto" w:sz="4" w:space="0"/>
              <w:right w:val="single" w:color="auto" w:sz="4" w:space="0"/>
            </w:tcBorders>
            <w:noWrap/>
            <w:vAlign w:val="bottom"/>
          </w:tcPr>
          <w:p>
            <w:pPr>
              <w:spacing w:line="360" w:lineRule="auto"/>
              <w:rPr>
                <w:rFonts w:ascii="宋体" w:hAnsi="宋体"/>
              </w:rPr>
            </w:pPr>
            <w:r>
              <w:rPr>
                <w:rFonts w:hint="eastAsia" w:ascii="宋体" w:hAnsi="宋体"/>
              </w:rPr>
              <w:t>√</w:t>
            </w:r>
          </w:p>
        </w:tc>
        <w:tc>
          <w:tcPr>
            <w:tcW w:w="836" w:type="pct"/>
            <w:tcBorders>
              <w:top w:val="single" w:color="auto" w:sz="4" w:space="0"/>
              <w:left w:val="nil"/>
              <w:bottom w:val="single" w:color="auto" w:sz="4" w:space="0"/>
              <w:right w:val="single" w:color="auto" w:sz="4" w:space="0"/>
            </w:tcBorders>
            <w:noWrap/>
            <w:vAlign w:val="bottom"/>
          </w:tcPr>
          <w:p>
            <w:pPr>
              <w:spacing w:line="360" w:lineRule="auto"/>
              <w:rPr>
                <w:rFonts w:ascii="宋体" w:hAnsi="宋体"/>
              </w:rPr>
            </w:pPr>
          </w:p>
        </w:tc>
        <w:tc>
          <w:tcPr>
            <w:tcW w:w="862" w:type="pct"/>
            <w:tcBorders>
              <w:top w:val="single" w:color="auto" w:sz="4" w:space="0"/>
              <w:left w:val="nil"/>
              <w:bottom w:val="single" w:color="auto" w:sz="4" w:space="0"/>
              <w:right w:val="single" w:color="auto" w:sz="4" w:space="0"/>
            </w:tcBorders>
            <w:noWrap/>
            <w:vAlign w:val="bottom"/>
          </w:tcPr>
          <w:p>
            <w:pPr>
              <w:spacing w:line="360" w:lineRule="auto"/>
              <w:rPr>
                <w:rFonts w:ascii="宋体" w:hAnsi="宋体"/>
              </w:rPr>
            </w:pPr>
            <w:r>
              <w:rPr>
                <w:rFonts w:hint="eastAsia" w:ascii="宋体" w:hAnsi="宋体"/>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472" w:type="pct"/>
            <w:tcBorders>
              <w:top w:val="single" w:color="auto" w:sz="4" w:space="0"/>
              <w:left w:val="single" w:color="auto" w:sz="4" w:space="0"/>
              <w:bottom w:val="single" w:color="auto" w:sz="4" w:space="0"/>
              <w:right w:val="single" w:color="auto" w:sz="4" w:space="0"/>
            </w:tcBorders>
          </w:tcPr>
          <w:p>
            <w:pPr>
              <w:spacing w:line="360" w:lineRule="auto"/>
              <w:rPr>
                <w:rFonts w:ascii="宋体" w:hAnsi="宋体"/>
              </w:rPr>
            </w:pPr>
            <w:r>
              <w:rPr>
                <w:rFonts w:hint="eastAsia" w:ascii="宋体" w:hAnsi="宋体"/>
              </w:rPr>
              <w:t>19</w:t>
            </w:r>
          </w:p>
        </w:tc>
        <w:tc>
          <w:tcPr>
            <w:tcW w:w="491" w:type="pct"/>
            <w:vMerge w:val="restart"/>
            <w:tcBorders>
              <w:top w:val="nil"/>
              <w:left w:val="nil"/>
              <w:bottom w:val="single" w:color="auto" w:sz="4" w:space="0"/>
              <w:right w:val="single" w:color="auto" w:sz="4" w:space="0"/>
            </w:tcBorders>
            <w:vAlign w:val="center"/>
          </w:tcPr>
          <w:p>
            <w:pPr>
              <w:spacing w:line="360" w:lineRule="auto"/>
              <w:rPr>
                <w:rFonts w:ascii="宋体" w:hAnsi="宋体"/>
              </w:rPr>
            </w:pPr>
            <w:r>
              <w:rPr>
                <w:rFonts w:hint="eastAsia" w:ascii="宋体" w:hAnsi="宋体"/>
              </w:rPr>
              <w:t>室外环境</w:t>
            </w:r>
          </w:p>
        </w:tc>
        <w:tc>
          <w:tcPr>
            <w:tcW w:w="1552"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r>
              <w:rPr>
                <w:rFonts w:hint="eastAsia" w:ascii="宋体" w:hAnsi="宋体"/>
              </w:rPr>
              <w:t>风管和法兰是否锈蚀</w:t>
            </w:r>
          </w:p>
        </w:tc>
        <w:tc>
          <w:tcPr>
            <w:tcW w:w="787"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r>
              <w:rPr>
                <w:rFonts w:hint="eastAsia" w:ascii="宋体" w:hAnsi="宋体"/>
              </w:rPr>
              <w:t>　</w:t>
            </w:r>
          </w:p>
        </w:tc>
        <w:tc>
          <w:tcPr>
            <w:tcW w:w="836"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r>
              <w:rPr>
                <w:rFonts w:hint="eastAsia" w:ascii="宋体" w:hAnsi="宋体"/>
              </w:rPr>
              <w:t>√</w:t>
            </w:r>
          </w:p>
        </w:tc>
        <w:tc>
          <w:tcPr>
            <w:tcW w:w="862"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r>
              <w:rPr>
                <w:rFonts w:hint="eastAsia" w:ascii="宋体" w:hAnsi="宋体"/>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472" w:type="pct"/>
            <w:tcBorders>
              <w:top w:val="single" w:color="auto" w:sz="4" w:space="0"/>
              <w:left w:val="single" w:color="auto" w:sz="4" w:space="0"/>
              <w:bottom w:val="single" w:color="auto" w:sz="4" w:space="0"/>
              <w:right w:val="single" w:color="auto" w:sz="4" w:space="0"/>
            </w:tcBorders>
          </w:tcPr>
          <w:p>
            <w:pPr>
              <w:spacing w:line="360" w:lineRule="auto"/>
              <w:rPr>
                <w:rFonts w:ascii="宋体" w:hAnsi="宋体"/>
              </w:rPr>
            </w:pPr>
            <w:r>
              <w:rPr>
                <w:rFonts w:hint="eastAsia" w:ascii="宋体" w:hAnsi="宋体"/>
              </w:rPr>
              <w:t>20</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1552"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r>
              <w:rPr>
                <w:rFonts w:hint="eastAsia" w:ascii="宋体" w:hAnsi="宋体"/>
              </w:rPr>
              <w:t>风机基础及减震器</w:t>
            </w:r>
          </w:p>
        </w:tc>
        <w:tc>
          <w:tcPr>
            <w:tcW w:w="787"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r>
              <w:rPr>
                <w:rFonts w:hint="eastAsia" w:ascii="宋体" w:hAnsi="宋体"/>
              </w:rPr>
              <w:t>　</w:t>
            </w:r>
          </w:p>
        </w:tc>
        <w:tc>
          <w:tcPr>
            <w:tcW w:w="836"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r>
              <w:rPr>
                <w:rFonts w:hint="eastAsia" w:ascii="宋体" w:hAnsi="宋体"/>
              </w:rPr>
              <w:t>√</w:t>
            </w:r>
          </w:p>
        </w:tc>
        <w:tc>
          <w:tcPr>
            <w:tcW w:w="862"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r>
              <w:rPr>
                <w:rFonts w:hint="eastAsia" w:ascii="宋体" w:hAnsi="宋体"/>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472" w:type="pct"/>
            <w:tcBorders>
              <w:top w:val="single" w:color="auto" w:sz="4" w:space="0"/>
              <w:left w:val="single" w:color="auto" w:sz="4" w:space="0"/>
              <w:bottom w:val="single" w:color="auto" w:sz="4" w:space="0"/>
              <w:right w:val="single" w:color="auto" w:sz="4" w:space="0"/>
            </w:tcBorders>
          </w:tcPr>
          <w:p>
            <w:pPr>
              <w:spacing w:line="360" w:lineRule="auto"/>
              <w:rPr>
                <w:rFonts w:ascii="宋体" w:hAnsi="宋体"/>
              </w:rPr>
            </w:pPr>
            <w:r>
              <w:rPr>
                <w:rFonts w:hint="eastAsia" w:ascii="宋体" w:hAnsi="宋体"/>
              </w:rPr>
              <w:t>21</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1552"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r>
              <w:rPr>
                <w:rFonts w:hint="eastAsia" w:ascii="宋体" w:hAnsi="宋体"/>
              </w:rPr>
              <w:t>调节阀及软节</w:t>
            </w:r>
          </w:p>
        </w:tc>
        <w:tc>
          <w:tcPr>
            <w:tcW w:w="787"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r>
              <w:rPr>
                <w:rFonts w:hint="eastAsia" w:ascii="宋体" w:hAnsi="宋体"/>
              </w:rPr>
              <w:t>　</w:t>
            </w:r>
          </w:p>
        </w:tc>
        <w:tc>
          <w:tcPr>
            <w:tcW w:w="836"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r>
              <w:rPr>
                <w:rFonts w:hint="eastAsia" w:ascii="宋体" w:hAnsi="宋体"/>
              </w:rPr>
              <w:t>√</w:t>
            </w:r>
          </w:p>
        </w:tc>
        <w:tc>
          <w:tcPr>
            <w:tcW w:w="862" w:type="pct"/>
            <w:tcBorders>
              <w:top w:val="single" w:color="auto" w:sz="4" w:space="0"/>
              <w:left w:val="nil"/>
              <w:bottom w:val="single" w:color="auto" w:sz="4" w:space="0"/>
              <w:right w:val="single" w:color="auto" w:sz="4" w:space="0"/>
            </w:tcBorders>
            <w:noWrap/>
            <w:vAlign w:val="center"/>
          </w:tcPr>
          <w:p>
            <w:pPr>
              <w:spacing w:line="360" w:lineRule="auto"/>
              <w:rPr>
                <w:rFonts w:ascii="宋体" w:hAnsi="宋体"/>
              </w:rPr>
            </w:pPr>
            <w:r>
              <w:rPr>
                <w:rFonts w:hint="eastAsia" w:ascii="宋体" w:hAnsi="宋体"/>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 w:hRule="atLeast"/>
        </w:trPr>
        <w:tc>
          <w:tcPr>
            <w:tcW w:w="472" w:type="pct"/>
            <w:tcBorders>
              <w:top w:val="single" w:color="auto" w:sz="4" w:space="0"/>
              <w:left w:val="single" w:color="auto" w:sz="4" w:space="0"/>
              <w:bottom w:val="single" w:color="auto" w:sz="4" w:space="0"/>
              <w:right w:val="single" w:color="auto" w:sz="4" w:space="0"/>
            </w:tcBorders>
          </w:tcPr>
          <w:p>
            <w:pPr>
              <w:spacing w:line="360" w:lineRule="auto"/>
              <w:rPr>
                <w:rFonts w:ascii="宋体" w:hAnsi="宋体"/>
              </w:rPr>
            </w:pPr>
            <w:r>
              <w:rPr>
                <w:rFonts w:hint="eastAsia" w:ascii="宋体" w:hAnsi="宋体"/>
              </w:rPr>
              <w:t>22</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1552" w:type="pct"/>
            <w:tcBorders>
              <w:top w:val="single" w:color="auto" w:sz="4" w:space="0"/>
              <w:left w:val="nil"/>
              <w:bottom w:val="single" w:color="auto" w:sz="4" w:space="0"/>
              <w:right w:val="single" w:color="auto" w:sz="4" w:space="0"/>
            </w:tcBorders>
          </w:tcPr>
          <w:p>
            <w:pPr>
              <w:spacing w:line="360" w:lineRule="auto"/>
              <w:rPr>
                <w:rFonts w:ascii="宋体" w:hAnsi="宋体"/>
              </w:rPr>
            </w:pPr>
            <w:r>
              <w:rPr>
                <w:rFonts w:hint="eastAsia" w:ascii="宋体" w:hAnsi="宋体"/>
              </w:rPr>
              <w:t>风机常规检查</w:t>
            </w:r>
          </w:p>
        </w:tc>
        <w:tc>
          <w:tcPr>
            <w:tcW w:w="787" w:type="pct"/>
            <w:tcBorders>
              <w:top w:val="single" w:color="auto" w:sz="4" w:space="0"/>
              <w:left w:val="nil"/>
              <w:bottom w:val="single" w:color="auto" w:sz="4" w:space="0"/>
              <w:right w:val="single" w:color="auto" w:sz="4" w:space="0"/>
            </w:tcBorders>
          </w:tcPr>
          <w:p>
            <w:pPr>
              <w:spacing w:line="360" w:lineRule="auto"/>
              <w:rPr>
                <w:rFonts w:ascii="宋体" w:hAnsi="宋体"/>
              </w:rPr>
            </w:pPr>
          </w:p>
        </w:tc>
        <w:tc>
          <w:tcPr>
            <w:tcW w:w="836" w:type="pct"/>
            <w:tcBorders>
              <w:top w:val="single" w:color="auto" w:sz="4" w:space="0"/>
              <w:left w:val="nil"/>
              <w:bottom w:val="single" w:color="auto" w:sz="4" w:space="0"/>
              <w:right w:val="single" w:color="auto" w:sz="4" w:space="0"/>
            </w:tcBorders>
          </w:tcPr>
          <w:p>
            <w:pPr>
              <w:spacing w:line="360" w:lineRule="auto"/>
              <w:rPr>
                <w:rFonts w:ascii="宋体" w:hAnsi="宋体"/>
              </w:rPr>
            </w:pPr>
            <w:r>
              <w:rPr>
                <w:rFonts w:hint="eastAsia" w:ascii="宋体" w:hAnsi="宋体"/>
              </w:rPr>
              <w:t>√</w:t>
            </w:r>
          </w:p>
        </w:tc>
        <w:tc>
          <w:tcPr>
            <w:tcW w:w="862" w:type="pct"/>
            <w:tcBorders>
              <w:top w:val="single" w:color="auto" w:sz="4" w:space="0"/>
              <w:left w:val="nil"/>
              <w:bottom w:val="single" w:color="auto" w:sz="4" w:space="0"/>
              <w:right w:val="single" w:color="auto" w:sz="4" w:space="0"/>
            </w:tcBorders>
          </w:tcPr>
          <w:p>
            <w:pPr>
              <w:spacing w:line="360" w:lineRule="auto"/>
              <w:rPr>
                <w:rFonts w:ascii="宋体" w:hAnsi="宋体"/>
              </w:rPr>
            </w:pPr>
          </w:p>
        </w:tc>
      </w:tr>
    </w:tbl>
    <w:p>
      <w:pPr>
        <w:spacing w:line="360" w:lineRule="auto"/>
        <w:rPr>
          <w:rFonts w:hint="eastAsia"/>
        </w:rPr>
      </w:pPr>
      <w:r>
        <w:t xml:space="preserve"> </w:t>
      </w:r>
    </w:p>
    <w:p>
      <w:pPr>
        <w:widowControl/>
        <w:spacing w:line="360" w:lineRule="auto"/>
        <w:jc w:val="left"/>
      </w:pPr>
      <w:r>
        <w:br w:type="page"/>
      </w:r>
    </w:p>
    <w:p>
      <w:pPr>
        <w:spacing w:line="360" w:lineRule="auto"/>
        <w:ind w:firstLine="480" w:firstLineChars="200"/>
        <w:rPr>
          <w:rFonts w:ascii="宋体" w:hAnsi="宋体"/>
          <w:sz w:val="24"/>
          <w:szCs w:val="24"/>
        </w:rPr>
      </w:pPr>
      <w:r>
        <w:rPr>
          <w:rFonts w:hint="eastAsia" w:ascii="宋体" w:hAnsi="宋体"/>
          <w:sz w:val="24"/>
          <w:szCs w:val="24"/>
        </w:rPr>
        <w:t>（3）、维护说明</w:t>
      </w:r>
    </w:p>
    <w:p>
      <w:pPr>
        <w:spacing w:line="360" w:lineRule="auto"/>
        <w:ind w:firstLine="480" w:firstLineChars="200"/>
        <w:rPr>
          <w:rFonts w:hint="eastAsia" w:ascii="宋体" w:hAnsi="宋体"/>
          <w:sz w:val="24"/>
          <w:szCs w:val="24"/>
        </w:rPr>
      </w:pPr>
      <w:r>
        <w:rPr>
          <w:rFonts w:hint="eastAsia" w:ascii="宋体" w:hAnsi="宋体"/>
          <w:sz w:val="24"/>
          <w:szCs w:val="24"/>
        </w:rPr>
        <w:t>1.离子主机</w:t>
      </w:r>
    </w:p>
    <w:p>
      <w:pPr>
        <w:spacing w:line="360" w:lineRule="auto"/>
        <w:ind w:firstLine="480" w:firstLineChars="200"/>
        <w:rPr>
          <w:rFonts w:hint="eastAsia" w:ascii="宋体" w:hAnsi="宋体"/>
          <w:sz w:val="24"/>
          <w:szCs w:val="24"/>
        </w:rPr>
      </w:pPr>
      <w:r>
        <w:rPr>
          <w:rFonts w:hint="eastAsia" w:ascii="宋体" w:hAnsi="宋体"/>
          <w:sz w:val="24"/>
          <w:szCs w:val="24"/>
        </w:rPr>
        <w:t>离子主机每三个月检查一次，小心拆卸，检查电离管是否完好并进行除尘清洗操作。</w:t>
      </w:r>
    </w:p>
    <w:p>
      <w:pPr>
        <w:spacing w:line="360" w:lineRule="auto"/>
        <w:ind w:firstLine="480" w:firstLineChars="200"/>
        <w:rPr>
          <w:rFonts w:hint="eastAsia" w:ascii="宋体" w:hAnsi="宋体"/>
          <w:sz w:val="24"/>
          <w:szCs w:val="24"/>
        </w:rPr>
      </w:pPr>
      <w:r>
        <w:rPr>
          <w:rFonts w:hint="eastAsia" w:ascii="宋体" w:hAnsi="宋体"/>
          <w:sz w:val="24"/>
          <w:szCs w:val="24"/>
        </w:rPr>
        <w:t>2.空气过滤器</w:t>
      </w:r>
    </w:p>
    <w:p>
      <w:pPr>
        <w:spacing w:line="360" w:lineRule="auto"/>
        <w:ind w:firstLine="480" w:firstLineChars="200"/>
        <w:rPr>
          <w:rFonts w:hint="eastAsia" w:ascii="宋体" w:hAnsi="宋体"/>
          <w:sz w:val="24"/>
          <w:szCs w:val="24"/>
        </w:rPr>
      </w:pPr>
      <w:r>
        <w:rPr>
          <w:rFonts w:hint="eastAsia" w:ascii="宋体" w:hAnsi="宋体"/>
          <w:sz w:val="24"/>
          <w:szCs w:val="24"/>
        </w:rPr>
        <w:t>空调机组与末端装置的空气过滤器在以下情况之一时，应按产品使用说明书要求进行清洗或更换：</w:t>
      </w:r>
    </w:p>
    <w:p>
      <w:pPr>
        <w:spacing w:line="360" w:lineRule="auto"/>
        <w:ind w:firstLine="480" w:firstLineChars="200"/>
        <w:rPr>
          <w:rFonts w:hint="eastAsia" w:ascii="宋体" w:hAnsi="宋体"/>
          <w:sz w:val="24"/>
          <w:szCs w:val="24"/>
        </w:rPr>
      </w:pPr>
      <w:r>
        <w:rPr>
          <w:rFonts w:hint="eastAsia" w:ascii="宋体" w:hAnsi="宋体"/>
          <w:sz w:val="24"/>
          <w:szCs w:val="24"/>
        </w:rPr>
        <w:t>1）空气过滤器严重堵塞，自控装置报警；</w:t>
      </w:r>
    </w:p>
    <w:p>
      <w:pPr>
        <w:spacing w:line="360" w:lineRule="auto"/>
        <w:ind w:firstLine="480" w:firstLineChars="200"/>
        <w:rPr>
          <w:rFonts w:hint="eastAsia" w:ascii="宋体" w:hAnsi="宋体"/>
          <w:sz w:val="24"/>
          <w:szCs w:val="24"/>
        </w:rPr>
      </w:pPr>
      <w:r>
        <w:rPr>
          <w:rFonts w:hint="eastAsia" w:ascii="宋体" w:hAnsi="宋体"/>
          <w:sz w:val="24"/>
          <w:szCs w:val="24"/>
        </w:rPr>
        <w:t>2）例行检查中发现破损或严重污染；</w:t>
      </w:r>
    </w:p>
    <w:p>
      <w:pPr>
        <w:spacing w:line="360" w:lineRule="auto"/>
        <w:ind w:firstLine="480" w:firstLineChars="200"/>
        <w:rPr>
          <w:rFonts w:hint="eastAsia" w:ascii="宋体" w:hAnsi="宋体"/>
          <w:sz w:val="24"/>
          <w:szCs w:val="24"/>
        </w:rPr>
      </w:pPr>
      <w:r>
        <w:rPr>
          <w:rFonts w:hint="eastAsia" w:ascii="宋体" w:hAnsi="宋体"/>
          <w:sz w:val="24"/>
          <w:szCs w:val="24"/>
        </w:rPr>
        <w:t>3）空气过滤器连续使用3个月；</w:t>
      </w:r>
    </w:p>
    <w:p>
      <w:pPr>
        <w:spacing w:line="360" w:lineRule="auto"/>
        <w:ind w:firstLine="480" w:firstLineChars="200"/>
        <w:rPr>
          <w:rFonts w:hint="eastAsia" w:ascii="宋体" w:hAnsi="宋体"/>
          <w:sz w:val="24"/>
          <w:szCs w:val="24"/>
        </w:rPr>
      </w:pPr>
      <w:r>
        <w:rPr>
          <w:rFonts w:hint="eastAsia" w:ascii="宋体" w:hAnsi="宋体"/>
          <w:sz w:val="24"/>
          <w:szCs w:val="24"/>
        </w:rPr>
        <w:t>3.新风调节阀</w:t>
      </w:r>
    </w:p>
    <w:p>
      <w:pPr>
        <w:spacing w:line="360" w:lineRule="auto"/>
        <w:ind w:firstLine="480" w:firstLineChars="200"/>
        <w:rPr>
          <w:rFonts w:hint="eastAsia" w:ascii="宋体" w:hAnsi="宋体"/>
          <w:sz w:val="24"/>
          <w:szCs w:val="24"/>
        </w:rPr>
      </w:pPr>
      <w:r>
        <w:rPr>
          <w:rFonts w:hint="eastAsia" w:ascii="宋体" w:hAnsi="宋体"/>
          <w:sz w:val="24"/>
          <w:szCs w:val="24"/>
        </w:rPr>
        <w:t>新风调节阀及其执行器目视检查并测试动作，检验其功能是否完好。</w:t>
      </w:r>
    </w:p>
    <w:p>
      <w:pPr>
        <w:spacing w:line="360" w:lineRule="auto"/>
        <w:ind w:firstLine="480" w:firstLineChars="200"/>
        <w:rPr>
          <w:rFonts w:hint="eastAsia" w:ascii="宋体" w:hAnsi="宋体"/>
          <w:sz w:val="24"/>
          <w:szCs w:val="24"/>
        </w:rPr>
      </w:pPr>
      <w:r>
        <w:rPr>
          <w:rFonts w:hint="eastAsia" w:ascii="宋体" w:hAnsi="宋体"/>
          <w:sz w:val="24"/>
          <w:szCs w:val="24"/>
        </w:rPr>
        <w:t>4.凝结水盘</w:t>
      </w:r>
    </w:p>
    <w:p>
      <w:pPr>
        <w:spacing w:line="360" w:lineRule="auto"/>
        <w:ind w:firstLine="480" w:firstLineChars="200"/>
        <w:rPr>
          <w:rFonts w:hint="eastAsia" w:ascii="宋体" w:hAnsi="宋体"/>
          <w:sz w:val="24"/>
          <w:szCs w:val="24"/>
        </w:rPr>
      </w:pPr>
      <w:r>
        <w:rPr>
          <w:rFonts w:hint="eastAsia" w:ascii="宋体" w:hAnsi="宋体"/>
          <w:sz w:val="24"/>
          <w:szCs w:val="24"/>
        </w:rPr>
        <w:t>凝结水盘应每三月目检一次，每年清洁一次，以防止微生物滋生。同时，应检查水盘外是否有水。如有水，应清洁，并找出产生的原因。</w:t>
      </w:r>
    </w:p>
    <w:p>
      <w:pPr>
        <w:spacing w:line="360" w:lineRule="auto"/>
        <w:ind w:firstLine="480" w:firstLineChars="200"/>
        <w:rPr>
          <w:rFonts w:hint="eastAsia" w:ascii="宋体" w:hAnsi="宋体"/>
          <w:sz w:val="24"/>
          <w:szCs w:val="24"/>
        </w:rPr>
      </w:pPr>
      <w:r>
        <w:rPr>
          <w:rFonts w:hint="eastAsia" w:ascii="宋体" w:hAnsi="宋体"/>
          <w:sz w:val="24"/>
          <w:szCs w:val="24"/>
        </w:rPr>
        <w:t>5.新风进风百叶</w:t>
      </w:r>
    </w:p>
    <w:p>
      <w:pPr>
        <w:spacing w:line="360" w:lineRule="auto"/>
        <w:ind w:firstLine="480" w:firstLineChars="200"/>
        <w:rPr>
          <w:rFonts w:hint="eastAsia" w:ascii="宋体" w:hAnsi="宋体"/>
          <w:sz w:val="24"/>
          <w:szCs w:val="24"/>
        </w:rPr>
      </w:pPr>
      <w:r>
        <w:rPr>
          <w:rFonts w:hint="eastAsia" w:ascii="宋体" w:hAnsi="宋体"/>
          <w:sz w:val="24"/>
          <w:szCs w:val="24"/>
        </w:rPr>
        <w:t>新风进风百叶、防虫网及邻近区域应每叁个月目检一次，清除可见垃圾，并修复可能损坏的防虫网。</w:t>
      </w:r>
    </w:p>
    <w:p>
      <w:pPr>
        <w:spacing w:line="360" w:lineRule="auto"/>
        <w:ind w:firstLine="480" w:firstLineChars="200"/>
        <w:rPr>
          <w:rFonts w:hint="eastAsia" w:ascii="宋体" w:hAnsi="宋体"/>
          <w:sz w:val="24"/>
          <w:szCs w:val="24"/>
        </w:rPr>
      </w:pPr>
      <w:r>
        <w:rPr>
          <w:rFonts w:hint="eastAsia" w:ascii="宋体" w:hAnsi="宋体"/>
          <w:sz w:val="24"/>
          <w:szCs w:val="24"/>
        </w:rPr>
        <w:t>6.自动控制装置</w:t>
      </w:r>
    </w:p>
    <w:p>
      <w:pPr>
        <w:spacing w:line="360" w:lineRule="auto"/>
        <w:ind w:firstLine="480" w:firstLineChars="200"/>
        <w:rPr>
          <w:rFonts w:hint="eastAsia" w:ascii="宋体" w:hAnsi="宋体"/>
          <w:sz w:val="24"/>
          <w:szCs w:val="24"/>
        </w:rPr>
      </w:pPr>
      <w:r>
        <w:rPr>
          <w:rFonts w:hint="eastAsia" w:ascii="宋体" w:hAnsi="宋体"/>
          <w:sz w:val="24"/>
          <w:szCs w:val="24"/>
        </w:rPr>
        <w:t>自控系统的各传感器、执行器每半年维护保养一次，去除积灰、试行动作、确认其有效性。如见失效和故障，应重新校准、维修或更换。</w:t>
      </w:r>
    </w:p>
    <w:p>
      <w:pPr>
        <w:spacing w:line="360" w:lineRule="auto"/>
        <w:ind w:firstLine="480" w:firstLineChars="200"/>
        <w:rPr>
          <w:rFonts w:hint="eastAsia" w:ascii="宋体" w:hAnsi="宋体"/>
          <w:sz w:val="24"/>
          <w:szCs w:val="24"/>
        </w:rPr>
      </w:pPr>
      <w:r>
        <w:rPr>
          <w:rFonts w:hint="eastAsia" w:ascii="宋体" w:hAnsi="宋体"/>
          <w:sz w:val="24"/>
          <w:szCs w:val="24"/>
        </w:rPr>
        <w:t>7.探头感应器测定</w:t>
      </w:r>
    </w:p>
    <w:p>
      <w:pPr>
        <w:spacing w:line="360" w:lineRule="auto"/>
        <w:ind w:firstLine="480" w:firstLineChars="200"/>
        <w:rPr>
          <w:rFonts w:hint="eastAsia" w:ascii="宋体" w:hAnsi="宋体"/>
          <w:sz w:val="24"/>
          <w:szCs w:val="24"/>
        </w:rPr>
      </w:pPr>
      <w:r>
        <w:rPr>
          <w:rFonts w:hint="eastAsia" w:ascii="宋体" w:hAnsi="宋体"/>
          <w:sz w:val="24"/>
          <w:szCs w:val="24"/>
        </w:rPr>
        <w:t>系统探头感应器每半年重新测定一次。如变化大于±10%应重新校对。使内置初设根据环境调整。</w:t>
      </w:r>
    </w:p>
    <w:p>
      <w:pPr>
        <w:spacing w:line="360" w:lineRule="auto"/>
        <w:ind w:firstLine="480" w:firstLineChars="200"/>
        <w:rPr>
          <w:rFonts w:hint="eastAsia" w:ascii="宋体" w:hAnsi="宋体"/>
          <w:sz w:val="24"/>
          <w:szCs w:val="24"/>
        </w:rPr>
      </w:pPr>
      <w:r>
        <w:rPr>
          <w:rFonts w:hint="eastAsia" w:ascii="宋体" w:hAnsi="宋体"/>
          <w:sz w:val="24"/>
          <w:szCs w:val="24"/>
        </w:rPr>
        <w:t>8.末端装置</w:t>
      </w:r>
    </w:p>
    <w:p>
      <w:pPr>
        <w:spacing w:line="360" w:lineRule="auto"/>
        <w:ind w:firstLine="480" w:firstLineChars="200"/>
        <w:rPr>
          <w:rFonts w:hint="eastAsia" w:ascii="宋体" w:hAnsi="宋体"/>
          <w:sz w:val="24"/>
          <w:szCs w:val="24"/>
        </w:rPr>
      </w:pPr>
      <w:r>
        <w:rPr>
          <w:rFonts w:hint="eastAsia" w:ascii="宋体" w:hAnsi="宋体"/>
          <w:sz w:val="24"/>
          <w:szCs w:val="24"/>
        </w:rPr>
        <w:t>末端装置的内置风机、风速传感器及调节风阀应每年维护保养一次，去除积灰、试行动作、确认其有效性。</w:t>
      </w:r>
    </w:p>
    <w:p>
      <w:pPr>
        <w:spacing w:line="360" w:lineRule="auto"/>
        <w:ind w:firstLine="480" w:firstLineChars="200"/>
        <w:rPr>
          <w:rFonts w:hint="eastAsia" w:ascii="宋体" w:hAnsi="宋体"/>
          <w:sz w:val="24"/>
          <w:szCs w:val="24"/>
        </w:rPr>
      </w:pPr>
      <w:r>
        <w:rPr>
          <w:rFonts w:hint="eastAsia" w:ascii="宋体" w:hAnsi="宋体"/>
          <w:sz w:val="24"/>
          <w:szCs w:val="24"/>
        </w:rPr>
        <w:t>（4）、紧急维修服务说明</w:t>
      </w:r>
    </w:p>
    <w:p>
      <w:pPr>
        <w:spacing w:line="360" w:lineRule="auto"/>
        <w:ind w:firstLine="480" w:firstLineChars="200"/>
        <w:rPr>
          <w:rFonts w:hint="eastAsia" w:ascii="宋体" w:hAnsi="宋体"/>
          <w:sz w:val="24"/>
          <w:szCs w:val="24"/>
        </w:rPr>
      </w:pPr>
      <w:r>
        <w:rPr>
          <w:rFonts w:hint="eastAsia" w:ascii="宋体" w:hAnsi="宋体"/>
          <w:sz w:val="24"/>
          <w:szCs w:val="24"/>
        </w:rPr>
        <w:t>乙方在接到甲方维修要求电话后48个小时内派技术人员上门进行维修保养。</w:t>
      </w:r>
    </w:p>
    <w:p>
      <w:pPr>
        <w:spacing w:line="360" w:lineRule="auto"/>
        <w:ind w:firstLine="480" w:firstLineChars="200"/>
        <w:rPr>
          <w:rFonts w:hint="eastAsia" w:ascii="宋体" w:hAnsi="宋体"/>
          <w:sz w:val="24"/>
          <w:szCs w:val="24"/>
        </w:rPr>
      </w:pPr>
      <w:r>
        <w:rPr>
          <w:rFonts w:hint="eastAsia" w:ascii="宋体" w:hAnsi="宋体"/>
          <w:sz w:val="24"/>
          <w:szCs w:val="24"/>
        </w:rPr>
        <w:t>甲方未经乙方同意不应自行更换或雇佣未经乙方书面同意的第三方更换或拆卸部件。</w:t>
      </w:r>
    </w:p>
    <w:p>
      <w:pPr>
        <w:spacing w:line="360" w:lineRule="auto"/>
        <w:ind w:firstLine="480" w:firstLineChars="200"/>
        <w:rPr>
          <w:rFonts w:hint="eastAsia" w:ascii="宋体" w:hAnsi="宋体"/>
          <w:sz w:val="24"/>
          <w:szCs w:val="24"/>
        </w:rPr>
      </w:pPr>
      <w:r>
        <w:rPr>
          <w:rFonts w:hint="eastAsia" w:ascii="宋体" w:hAnsi="宋体"/>
          <w:sz w:val="24"/>
          <w:szCs w:val="24"/>
        </w:rPr>
        <w:t>（5）、保修范围说明</w:t>
      </w:r>
    </w:p>
    <w:p>
      <w:pPr>
        <w:spacing w:line="360" w:lineRule="auto"/>
        <w:ind w:firstLine="480" w:firstLineChars="200"/>
        <w:rPr>
          <w:rFonts w:hint="eastAsia" w:ascii="宋体" w:hAnsi="宋体"/>
          <w:sz w:val="24"/>
          <w:szCs w:val="24"/>
        </w:rPr>
      </w:pPr>
      <w:r>
        <w:rPr>
          <w:rFonts w:hint="eastAsia" w:ascii="宋体" w:hAnsi="宋体"/>
          <w:sz w:val="24"/>
          <w:szCs w:val="24"/>
        </w:rPr>
        <w:t>因自然灾害及人为原因等不可抗力的因素引起的损坏、因未经乙方同意或雇佣第三方修理而引起的损坏不属于本合同保修范围。</w:t>
      </w:r>
    </w:p>
    <w:p>
      <w:pPr>
        <w:spacing w:line="360" w:lineRule="auto"/>
        <w:ind w:firstLine="480" w:firstLineChars="200"/>
        <w:rPr>
          <w:rFonts w:hint="eastAsia" w:ascii="宋体" w:hAnsi="宋体"/>
          <w:sz w:val="24"/>
          <w:szCs w:val="24"/>
        </w:rPr>
      </w:pPr>
      <w:r>
        <w:rPr>
          <w:rFonts w:hint="eastAsia" w:ascii="宋体" w:hAnsi="宋体"/>
          <w:sz w:val="24"/>
          <w:szCs w:val="24"/>
        </w:rPr>
        <w:t>（6）、甲方权利义务</w:t>
      </w:r>
    </w:p>
    <w:p>
      <w:pPr>
        <w:spacing w:line="360" w:lineRule="auto"/>
        <w:ind w:firstLine="480" w:firstLineChars="200"/>
        <w:rPr>
          <w:rFonts w:hint="eastAsia" w:ascii="宋体" w:hAnsi="宋体"/>
          <w:sz w:val="24"/>
          <w:szCs w:val="24"/>
        </w:rPr>
      </w:pPr>
      <w:r>
        <w:rPr>
          <w:rFonts w:hint="eastAsia" w:ascii="宋体" w:hAnsi="宋体"/>
          <w:sz w:val="24"/>
          <w:szCs w:val="24"/>
        </w:rPr>
        <w:t>1.甲方为乙方维保提供便利条件；</w:t>
      </w:r>
    </w:p>
    <w:p>
      <w:pPr>
        <w:spacing w:line="360" w:lineRule="auto"/>
        <w:ind w:firstLine="480" w:firstLineChars="200"/>
        <w:rPr>
          <w:rFonts w:hint="eastAsia" w:ascii="宋体" w:hAnsi="宋体"/>
          <w:sz w:val="24"/>
          <w:szCs w:val="24"/>
        </w:rPr>
      </w:pPr>
      <w:r>
        <w:rPr>
          <w:rFonts w:hint="eastAsia" w:ascii="宋体" w:hAnsi="宋体"/>
          <w:sz w:val="24"/>
          <w:szCs w:val="24"/>
        </w:rPr>
        <w:t>2.甲方有权指派专业技术人员对乙方工作的全过程进行监督，对乙方的工作成果进行检查、确认，有权根据合同内容并依照国家标准的工艺和规范对乙方的服务质量和服务项目进行考核和确认；</w:t>
      </w:r>
    </w:p>
    <w:p>
      <w:pPr>
        <w:spacing w:line="360" w:lineRule="auto"/>
        <w:ind w:firstLine="480" w:firstLineChars="200"/>
        <w:rPr>
          <w:rFonts w:hint="eastAsia" w:ascii="宋体" w:hAnsi="宋体"/>
          <w:sz w:val="24"/>
          <w:szCs w:val="24"/>
        </w:rPr>
      </w:pPr>
      <w:bookmarkStart w:id="0" w:name="_GoBack"/>
      <w:bookmarkEnd w:id="0"/>
      <w:r>
        <w:rPr>
          <w:rFonts w:hint="eastAsia" w:ascii="宋体" w:hAnsi="宋体"/>
          <w:sz w:val="24"/>
          <w:szCs w:val="24"/>
        </w:rPr>
        <w:t>（7）、乙方权利义务</w:t>
      </w:r>
    </w:p>
    <w:p>
      <w:pPr>
        <w:spacing w:line="360" w:lineRule="auto"/>
        <w:ind w:firstLine="480" w:firstLineChars="200"/>
        <w:rPr>
          <w:rFonts w:hint="eastAsia" w:ascii="宋体" w:hAnsi="宋体"/>
          <w:sz w:val="24"/>
          <w:szCs w:val="24"/>
        </w:rPr>
      </w:pPr>
      <w:r>
        <w:rPr>
          <w:rFonts w:hint="eastAsia" w:ascii="宋体" w:hAnsi="宋体"/>
          <w:sz w:val="24"/>
          <w:szCs w:val="24"/>
        </w:rPr>
        <w:t xml:space="preserve">1.乙方应按照合同中乙方应尽的义务和维保方案进行维修保养；   </w:t>
      </w:r>
    </w:p>
    <w:p>
      <w:pPr>
        <w:spacing w:line="360" w:lineRule="auto"/>
        <w:ind w:firstLine="480" w:firstLineChars="200"/>
        <w:rPr>
          <w:rFonts w:hint="eastAsia" w:ascii="宋体" w:hAnsi="宋体"/>
          <w:sz w:val="24"/>
          <w:szCs w:val="24"/>
        </w:rPr>
      </w:pPr>
      <w:r>
        <w:rPr>
          <w:rFonts w:hint="eastAsia" w:ascii="宋体" w:hAnsi="宋体"/>
          <w:sz w:val="24"/>
          <w:szCs w:val="24"/>
        </w:rPr>
        <w:t>2.乙方维保服务期间，应服从甲方管理，并接受甲方监督，确保服务到位；</w:t>
      </w:r>
    </w:p>
    <w:p>
      <w:pPr>
        <w:spacing w:line="360" w:lineRule="auto"/>
        <w:ind w:firstLine="480" w:firstLineChars="200"/>
        <w:rPr>
          <w:rFonts w:hint="eastAsia" w:ascii="宋体" w:hAnsi="宋体"/>
          <w:sz w:val="24"/>
          <w:szCs w:val="24"/>
        </w:rPr>
      </w:pPr>
      <w:r>
        <w:rPr>
          <w:rFonts w:hint="eastAsia" w:ascii="宋体" w:hAnsi="宋体"/>
          <w:sz w:val="24"/>
          <w:szCs w:val="24"/>
        </w:rPr>
        <w:t>3.在接到甲方报修通知后，乙方1小时内电话响应，资深工程师在线技术支持，如无法解决故障，则需派经原厂认证合格的现场服务工程师48小时内到达现场进行维修，排除故障；</w:t>
      </w:r>
    </w:p>
    <w:p>
      <w:pPr>
        <w:spacing w:line="360" w:lineRule="auto"/>
        <w:ind w:firstLine="480" w:firstLineChars="200"/>
        <w:rPr>
          <w:rFonts w:hint="eastAsia" w:ascii="宋体" w:hAnsi="宋体"/>
          <w:sz w:val="24"/>
          <w:szCs w:val="24"/>
        </w:rPr>
      </w:pPr>
      <w:r>
        <w:rPr>
          <w:rFonts w:hint="eastAsia" w:ascii="宋体" w:hAnsi="宋体"/>
          <w:sz w:val="24"/>
          <w:szCs w:val="24"/>
        </w:rPr>
        <w:t>4.乙方应指导甲方使用人员及管理人员正确使用操作系统和设备；</w:t>
      </w:r>
    </w:p>
    <w:p>
      <w:pPr>
        <w:spacing w:line="360" w:lineRule="auto"/>
        <w:ind w:firstLine="480" w:firstLineChars="200"/>
        <w:rPr>
          <w:rFonts w:hint="eastAsia" w:ascii="宋体" w:hAnsi="宋体"/>
          <w:sz w:val="24"/>
          <w:szCs w:val="24"/>
        </w:rPr>
      </w:pPr>
      <w:r>
        <w:rPr>
          <w:rFonts w:hint="eastAsia" w:ascii="宋体" w:hAnsi="宋体"/>
          <w:sz w:val="24"/>
          <w:szCs w:val="24"/>
        </w:rPr>
        <w:t>5.乙方必须在工作中采取必要安全防护措施以保障乙方工作人员的劳动安全；</w:t>
      </w:r>
    </w:p>
    <w:p>
      <w:pPr>
        <w:spacing w:line="360" w:lineRule="auto"/>
        <w:ind w:firstLine="480" w:firstLineChars="200"/>
        <w:rPr>
          <w:rFonts w:hint="eastAsia" w:ascii="宋体" w:hAnsi="宋体"/>
          <w:sz w:val="24"/>
          <w:szCs w:val="24"/>
        </w:rPr>
      </w:pPr>
      <w:r>
        <w:rPr>
          <w:rFonts w:hint="eastAsia" w:ascii="宋体" w:hAnsi="宋体"/>
          <w:sz w:val="24"/>
          <w:szCs w:val="24"/>
        </w:rPr>
        <w:t>6.乙方工作人员进入甲方管辖区域工作时，应穿着工作服、佩戴工作证，遵守甲方的各项管理规定，并服从甲方工作人员的管理；</w:t>
      </w:r>
      <w:r>
        <w:rPr>
          <w:rFonts w:hint="eastAsia" w:ascii="宋体" w:hAnsi="宋体"/>
          <w:sz w:val="24"/>
          <w:szCs w:val="24"/>
        </w:rPr>
        <w:br w:type="textWrapping"/>
      </w:r>
      <w:r>
        <w:rPr>
          <w:rFonts w:hint="eastAsia" w:ascii="宋体" w:hAnsi="宋体"/>
          <w:sz w:val="24"/>
          <w:szCs w:val="24"/>
        </w:rPr>
        <w:t xml:space="preserve">    7.乙方每次维保服务必须有维保服务单，并报甲方使用部门及管理部门签字确认；</w:t>
      </w:r>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205A3"/>
    <w:rsid w:val="00061F98"/>
    <w:rsid w:val="00116722"/>
    <w:rsid w:val="002753C9"/>
    <w:rsid w:val="00297235"/>
    <w:rsid w:val="003900C1"/>
    <w:rsid w:val="003B7BC6"/>
    <w:rsid w:val="003F7BAE"/>
    <w:rsid w:val="004630F9"/>
    <w:rsid w:val="00647A73"/>
    <w:rsid w:val="00713C7A"/>
    <w:rsid w:val="00817064"/>
    <w:rsid w:val="0088305B"/>
    <w:rsid w:val="008A2211"/>
    <w:rsid w:val="009630FE"/>
    <w:rsid w:val="009C46D2"/>
    <w:rsid w:val="00A15B59"/>
    <w:rsid w:val="00A56265"/>
    <w:rsid w:val="00AC51FB"/>
    <w:rsid w:val="00B205A3"/>
    <w:rsid w:val="00B214A7"/>
    <w:rsid w:val="00BA62DD"/>
    <w:rsid w:val="00BE06D4"/>
    <w:rsid w:val="00C41802"/>
    <w:rsid w:val="00D42FAF"/>
    <w:rsid w:val="00DD577A"/>
    <w:rsid w:val="00DD77CA"/>
    <w:rsid w:val="00DF3869"/>
    <w:rsid w:val="00FE5F64"/>
    <w:rsid w:val="3DFF5E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宋体" w:cs="Times New Roman"/>
      <w:kern w:val="2"/>
      <w:sz w:val="21"/>
      <w:szCs w:val="21"/>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515</Words>
  <Characters>2940</Characters>
  <Lines>24</Lines>
  <Paragraphs>6</Paragraphs>
  <TotalTime>2</TotalTime>
  <ScaleCrop>false</ScaleCrop>
  <LinksUpToDate>false</LinksUpToDate>
  <CharactersWithSpaces>3449</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2020-05-16T01:37:00Z</dcterms:created>
  <dc:creator>lenovo</dc:creator>
  <cp:lastModifiedBy>朱凯丰</cp:lastModifiedBy>
  <dcterms:modified xsi:type="dcterms:W3CDTF">2020-05-18T00:18:01Z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